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80" w:lineRule="exact"/>
        <w:ind w:right="0" w:rightChars="0"/>
        <w:jc w:val="center"/>
        <w:textAlignment w:val="auto"/>
        <w:rPr>
          <w:rFonts w:hint="eastAsia" w:ascii="方正小标宋简体" w:eastAsia="方正小标宋简体"/>
          <w:sz w:val="36"/>
          <w:szCs w:val="36"/>
        </w:rPr>
      </w:pPr>
      <w:r>
        <w:rPr>
          <w:rFonts w:hint="eastAsia" w:ascii="方正小标宋简体" w:eastAsia="方正小标宋简体"/>
          <w:sz w:val="36"/>
          <w:szCs w:val="36"/>
          <w:lang w:eastAsia="zh-CN"/>
        </w:rPr>
        <w:t>部</w:t>
      </w:r>
      <w:r>
        <w:rPr>
          <w:rFonts w:hint="eastAsia" w:ascii="方正小标宋简体" w:eastAsia="方正小标宋简体"/>
          <w:sz w:val="36"/>
          <w:szCs w:val="36"/>
        </w:rPr>
        <w:t>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pPr>
        <w:pageBreakBefore w:val="0"/>
        <w:kinsoku/>
        <w:wordWrap/>
        <w:overflowPunct/>
        <w:topLinePunct w:val="0"/>
        <w:autoSpaceDE/>
        <w:autoSpaceDN/>
        <w:bidi w:val="0"/>
        <w:adjustRightInd/>
        <w:snapToGrid/>
        <w:spacing w:line="580" w:lineRule="exact"/>
        <w:ind w:right="0" w:rightChars="0"/>
        <w:jc w:val="center"/>
        <w:textAlignment w:val="auto"/>
        <w:rPr>
          <w:rFonts w:ascii="仿宋_GB2312"/>
          <w:szCs w:val="30"/>
        </w:rPr>
      </w:pP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eastAsia="楷体_GB2312"/>
          <w:sz w:val="32"/>
          <w:szCs w:val="32"/>
        </w:rPr>
      </w:pPr>
      <w:r>
        <w:rPr>
          <w:rFonts w:hint="eastAsia" w:ascii="楷体_GB2312" w:eastAsia="楷体_GB2312"/>
          <w:sz w:val="32"/>
          <w:szCs w:val="32"/>
        </w:rPr>
        <w:t>（一）机构设置及职责工作任务情况</w:t>
      </w:r>
    </w:p>
    <w:p>
      <w:pPr>
        <w:pageBreakBefore w:val="0"/>
        <w:kinsoku/>
        <w:wordWrap/>
        <w:overflowPunct/>
        <w:topLinePunct w:val="0"/>
        <w:autoSpaceDE/>
        <w:autoSpaceDN/>
        <w:bidi w:val="0"/>
        <w:adjustRightInd/>
        <w:snapToGrid/>
        <w:spacing w:line="580" w:lineRule="exact"/>
        <w:ind w:right="0" w:rightChars="0" w:firstLine="643" w:firstLineChars="200"/>
        <w:textAlignment w:val="auto"/>
        <w:rPr>
          <w:rFonts w:hint="eastAsia" w:ascii="仿宋_GB2312" w:eastAsia="仿宋_GB2312" w:hAnsiTheme="minorEastAsia"/>
          <w:b/>
          <w:bCs/>
          <w:sz w:val="32"/>
          <w:szCs w:val="32"/>
          <w:lang w:val="en-US" w:eastAsia="zh-CN"/>
        </w:rPr>
      </w:pPr>
      <w:r>
        <w:rPr>
          <w:rFonts w:hint="eastAsia" w:ascii="仿宋_GB2312" w:eastAsia="仿宋_GB2312" w:hAnsiTheme="minorEastAsia"/>
          <w:b/>
          <w:bCs/>
          <w:sz w:val="32"/>
          <w:szCs w:val="32"/>
          <w:lang w:val="en-US" w:eastAsia="zh-CN"/>
        </w:rPr>
        <w:t>1.</w:t>
      </w:r>
      <w:r>
        <w:rPr>
          <w:rFonts w:hint="eastAsia" w:ascii="仿宋_GB2312" w:eastAsia="仿宋_GB2312" w:hAnsiTheme="minorEastAsia"/>
          <w:b/>
          <w:bCs/>
          <w:sz w:val="32"/>
          <w:szCs w:val="32"/>
        </w:rPr>
        <w:t>部门机构设置情况</w:t>
      </w:r>
      <w:r>
        <w:rPr>
          <w:rFonts w:hint="eastAsia" w:ascii="仿宋_GB2312" w:eastAsia="仿宋_GB2312" w:hAnsiTheme="minorEastAsia"/>
          <w:b/>
          <w:bCs/>
          <w:sz w:val="32"/>
          <w:szCs w:val="32"/>
          <w:lang w:val="en-US" w:eastAsia="zh-CN"/>
        </w:rPr>
        <w:t>。</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eastAsia="仿宋_GB2312" w:hAnsiTheme="minorEastAsia"/>
          <w:b w:val="0"/>
          <w:sz w:val="32"/>
          <w:szCs w:val="32"/>
        </w:rPr>
      </w:pPr>
      <w:r>
        <w:rPr>
          <w:rFonts w:hint="eastAsia" w:ascii="仿宋_GB2312" w:eastAsia="仿宋_GB2312" w:hAnsiTheme="minorEastAsia"/>
          <w:b w:val="0"/>
          <w:sz w:val="32"/>
          <w:szCs w:val="32"/>
        </w:rPr>
        <w:t>中共北京市朝阳区委老干部局是区委主管本区离退休干部工作的工作机关，归口区委组织部管理。局机关编制行政科室3个：办公室、组织指导科、服务管理科；下属参照公务员法管理事业单位1个：老干部活动中心（老干部大学、老干部党校）。行政编制</w:t>
      </w:r>
      <w:r>
        <w:rPr>
          <w:rFonts w:hint="eastAsia" w:ascii="仿宋_GB2312" w:eastAsia="仿宋_GB2312" w:hAnsiTheme="minorEastAsia"/>
          <w:b w:val="0"/>
          <w:sz w:val="32"/>
          <w:szCs w:val="32"/>
          <w:lang w:val="en-US" w:eastAsia="zh-CN"/>
        </w:rPr>
        <w:t>16</w:t>
      </w:r>
      <w:r>
        <w:rPr>
          <w:rFonts w:hint="eastAsia" w:ascii="仿宋_GB2312" w:eastAsia="仿宋_GB2312" w:hAnsiTheme="minorEastAsia"/>
          <w:b w:val="0"/>
          <w:sz w:val="32"/>
          <w:szCs w:val="32"/>
        </w:rPr>
        <w:t>人，实际</w:t>
      </w:r>
      <w:r>
        <w:rPr>
          <w:rFonts w:hint="eastAsia" w:ascii="仿宋_GB2312" w:eastAsia="仿宋_GB2312" w:hAnsiTheme="minorEastAsia"/>
          <w:b w:val="0"/>
          <w:sz w:val="32"/>
          <w:szCs w:val="32"/>
          <w:lang w:val="en-US" w:eastAsia="zh-CN"/>
        </w:rPr>
        <w:t>16</w:t>
      </w:r>
      <w:r>
        <w:rPr>
          <w:rFonts w:hint="eastAsia" w:ascii="仿宋_GB2312" w:eastAsia="仿宋_GB2312" w:hAnsiTheme="minorEastAsia"/>
          <w:b w:val="0"/>
          <w:sz w:val="32"/>
          <w:szCs w:val="32"/>
        </w:rPr>
        <w:t>人；事业编制</w:t>
      </w:r>
      <w:r>
        <w:rPr>
          <w:rFonts w:hint="eastAsia" w:ascii="仿宋_GB2312" w:eastAsia="仿宋_GB2312" w:hAnsiTheme="minorEastAsia"/>
          <w:b w:val="0"/>
          <w:sz w:val="32"/>
          <w:szCs w:val="32"/>
          <w:lang w:val="en-US" w:eastAsia="zh-CN"/>
        </w:rPr>
        <w:t>28</w:t>
      </w:r>
      <w:r>
        <w:rPr>
          <w:rFonts w:hint="eastAsia" w:ascii="仿宋_GB2312" w:eastAsia="仿宋_GB2312" w:hAnsiTheme="minorEastAsia"/>
          <w:b w:val="0"/>
          <w:sz w:val="32"/>
          <w:szCs w:val="32"/>
        </w:rPr>
        <w:t>人，实际</w:t>
      </w:r>
      <w:r>
        <w:rPr>
          <w:rFonts w:hint="eastAsia" w:ascii="仿宋_GB2312" w:eastAsia="仿宋_GB2312" w:hAnsiTheme="minorEastAsia"/>
          <w:b w:val="0"/>
          <w:sz w:val="32"/>
          <w:szCs w:val="32"/>
          <w:lang w:val="en-US" w:eastAsia="zh-CN"/>
        </w:rPr>
        <w:t>24</w:t>
      </w:r>
      <w:r>
        <w:rPr>
          <w:rFonts w:hint="eastAsia" w:ascii="仿宋_GB2312" w:eastAsia="仿宋_GB2312" w:hAnsiTheme="minorEastAsia"/>
          <w:b w:val="0"/>
          <w:sz w:val="32"/>
          <w:szCs w:val="32"/>
        </w:rPr>
        <w:t>人。离退休人员</w:t>
      </w:r>
      <w:r>
        <w:rPr>
          <w:rFonts w:hint="eastAsia" w:ascii="仿宋_GB2312" w:eastAsia="仿宋_GB2312" w:hAnsiTheme="minorEastAsia"/>
          <w:b w:val="0"/>
          <w:sz w:val="32"/>
          <w:szCs w:val="32"/>
          <w:lang w:val="en-US" w:eastAsia="zh-CN"/>
        </w:rPr>
        <w:t>24</w:t>
      </w:r>
      <w:r>
        <w:rPr>
          <w:rFonts w:hint="eastAsia" w:ascii="仿宋_GB2312" w:eastAsia="仿宋_GB2312" w:hAnsiTheme="minorEastAsia"/>
          <w:b w:val="0"/>
          <w:sz w:val="32"/>
          <w:szCs w:val="32"/>
        </w:rPr>
        <w:t>人，其中：退休2</w:t>
      </w:r>
      <w:r>
        <w:rPr>
          <w:rFonts w:hint="eastAsia" w:ascii="仿宋_GB2312" w:eastAsia="仿宋_GB2312" w:hAnsiTheme="minorEastAsia"/>
          <w:b w:val="0"/>
          <w:sz w:val="32"/>
          <w:szCs w:val="32"/>
          <w:lang w:val="en-US" w:eastAsia="zh-CN"/>
        </w:rPr>
        <w:t>4</w:t>
      </w:r>
      <w:r>
        <w:rPr>
          <w:rFonts w:hint="eastAsia" w:ascii="仿宋_GB2312" w:eastAsia="仿宋_GB2312" w:hAnsiTheme="minorEastAsia"/>
          <w:b w:val="0"/>
          <w:sz w:val="32"/>
          <w:szCs w:val="32"/>
        </w:rPr>
        <w:t>人。</w:t>
      </w:r>
    </w:p>
    <w:p>
      <w:pPr>
        <w:pStyle w:val="5"/>
        <w:pageBreakBefore w:val="0"/>
        <w:kinsoku/>
        <w:wordWrap/>
        <w:overflowPunct/>
        <w:topLinePunct w:val="0"/>
        <w:autoSpaceDE/>
        <w:autoSpaceDN/>
        <w:bidi w:val="0"/>
        <w:adjustRightInd/>
        <w:snapToGrid/>
        <w:spacing w:line="580" w:lineRule="exact"/>
        <w:ind w:right="0" w:rightChars="0" w:firstLine="643" w:firstLineChars="200"/>
        <w:jc w:val="left"/>
        <w:textAlignment w:val="auto"/>
        <w:rPr>
          <w:rFonts w:ascii="Times New Roman" w:hAnsi="Times New Roman" w:eastAsia="楷体" w:cs="Times New Roman"/>
          <w:sz w:val="32"/>
          <w:szCs w:val="32"/>
        </w:rPr>
      </w:pPr>
      <w:r>
        <w:rPr>
          <w:rFonts w:hint="eastAsia" w:ascii="仿宋_GB2312" w:eastAsia="仿宋_GB2312" w:cs="Times New Roman" w:hAnsiTheme="minorEastAsia"/>
          <w:b/>
          <w:bCs/>
          <w:kern w:val="2"/>
          <w:sz w:val="32"/>
          <w:szCs w:val="32"/>
          <w:lang w:val="en-US" w:eastAsia="zh-CN" w:bidi="ar-SA"/>
        </w:rPr>
        <w:t>2.部门职能情况。</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eastAsia="仿宋_GB2312"/>
          <w:b w:val="0"/>
          <w:bCs w:val="0"/>
          <w:sz w:val="32"/>
          <w:szCs w:val="32"/>
        </w:rPr>
        <w:t xml:space="preserve"> </w:t>
      </w:r>
      <w:r>
        <w:rPr>
          <w:rFonts w:hint="eastAsia" w:ascii="仿宋_GB2312" w:eastAsia="仿宋_GB2312" w:cs="宋体" w:hAnsiTheme="minorEastAsia"/>
          <w:b w:val="0"/>
          <w:color w:val="000000"/>
          <w:kern w:val="0"/>
          <w:sz w:val="32"/>
          <w:szCs w:val="32"/>
        </w:rPr>
        <w:t>（1）贯彻执行党中央、国务院和市委、市政府关于离退休干部工作的各项方针、政策及区委、区政府关于离退休干部工作的要求,向区委提出加强和改进离退休干部工作的意见建议，协助区委研究制定离退休干部的规划计划、政策措施、制度规定并组织实施。</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（2）指导协调本区离退休干部党组织建设和党员教育管理工作，指导开展离退休干部思想政治工作。</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（3）组织协调本区离退休干部开展学习活动，引导离退休干部发挥作用。</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（4）组织指导离退休干部服务管理工作和易地安置离休干部服务管理工作，落实好政策待遇，保障各项权益。</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（5）负责管理和指导老干部活动中心。</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_GB2312" w:eastAsia="仿宋_GB2312" w:hAnsiTheme="minorEastAsia"/>
          <w:b w:val="0"/>
          <w:sz w:val="32"/>
          <w:szCs w:val="32"/>
        </w:rPr>
      </w:pPr>
      <w:r>
        <w:rPr>
          <w:rFonts w:hint="eastAsia" w:ascii="仿宋_GB2312" w:eastAsia="仿宋_GB2312" w:cs="宋体" w:hAnsiTheme="minorEastAsia"/>
          <w:b w:val="0"/>
          <w:color w:val="000000"/>
          <w:kern w:val="0"/>
          <w:sz w:val="32"/>
          <w:szCs w:val="32"/>
        </w:rPr>
        <w:t>（6）完成区委、区政府和区委组织部交办的其他任务。</w:t>
      </w:r>
      <w:r>
        <w:rPr>
          <w:rFonts w:hint="eastAsia" w:ascii="仿宋_GB2312" w:eastAsia="仿宋_GB2312"/>
          <w:b w:val="0"/>
          <w:bCs w:val="0"/>
          <w:sz w:val="32"/>
          <w:szCs w:val="32"/>
        </w:rPr>
        <w:t xml:space="preserve"> </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eastAsia="楷体_GB2312"/>
          <w:sz w:val="32"/>
          <w:szCs w:val="32"/>
        </w:rPr>
      </w:pPr>
      <w:r>
        <w:rPr>
          <w:rFonts w:hint="eastAsia" w:ascii="楷体_GB2312" w:eastAsia="楷体_GB2312"/>
          <w:sz w:val="32"/>
          <w:szCs w:val="32"/>
        </w:rPr>
        <w:t>（二）部门整体绩效目标设立情况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eastAsia="仿宋_GB2312" w:cs="宋体" w:hAnsiTheme="minorEastAsia"/>
          <w:b w:val="0"/>
          <w:color w:val="000000"/>
          <w:kern w:val="0"/>
          <w:sz w:val="32"/>
          <w:szCs w:val="32"/>
          <w:lang w:val="en-US" w:eastAsia="zh-CN" w:bidi="ar-SA"/>
        </w:rPr>
      </w:pPr>
      <w:r>
        <w:rPr>
          <w:rFonts w:hint="eastAsia" w:ascii="仿宋_GB2312" w:eastAsia="仿宋_GB2312" w:cs="宋体" w:hAnsiTheme="minorEastAsia"/>
          <w:b w:val="0"/>
          <w:color w:val="000000"/>
          <w:kern w:val="0"/>
          <w:sz w:val="32"/>
          <w:szCs w:val="32"/>
          <w:lang w:val="en-US" w:eastAsia="zh-CN" w:bidi="ar-SA"/>
        </w:rPr>
        <w:t>根据部门职能以及上级有关文件精神，制定部门的年度总体绩效目标。在此基础上，结合二级指标内容，按照年度重点工作任务和预算资金安排情况,再设定体现各项年度重点工作任务完成情况的三级指标。绩效指标确定后，                                                                                                                                                                                                                                                                                                                                                                                                                                                                                                                                                                                                                                                                                                                                                                                                                                   参考相关历史数据、行业标准、计划标准等，科学设定指标值。指标值的设定在考虑可实现性的基础上，尽量从严、从高设定，以充分发挥绩效目标对预算编制执行的引导约束和控制作用，从而达到目标与职责任务的相匹配和目标的合理性。</w:t>
      </w:r>
    </w:p>
    <w:p>
      <w:pPr>
        <w:pageBreakBefore w:val="0"/>
        <w:kinsoku/>
        <w:wordWrap/>
        <w:overflowPunct/>
        <w:topLinePunct w:val="0"/>
        <w:autoSpaceDE/>
        <w:autoSpaceDN/>
        <w:bidi w:val="0"/>
        <w:adjustRightInd/>
        <w:snapToGrid/>
        <w:spacing w:line="580" w:lineRule="exact"/>
        <w:ind w:right="0" w:rightChars="0" w:firstLine="540" w:firstLineChars="200"/>
        <w:textAlignment w:val="auto"/>
        <w:rPr>
          <w:rFonts w:ascii="黑体" w:hAnsi="黑体" w:eastAsia="黑体" w:cs="宋体"/>
          <w:color w:val="000000"/>
          <w:kern w:val="0"/>
          <w:sz w:val="32"/>
          <w:szCs w:val="32"/>
        </w:rPr>
      </w:pPr>
      <w:r>
        <w:rPr>
          <w:rFonts w:hint="eastAsia" w:ascii="微软雅黑" w:hAnsi="微软雅黑" w:eastAsia="微软雅黑" w:cs="微软雅黑"/>
          <w:i w:val="0"/>
          <w:caps w:val="0"/>
          <w:color w:val="121212"/>
          <w:spacing w:val="0"/>
          <w:sz w:val="27"/>
          <w:szCs w:val="27"/>
          <w:shd w:val="clear" w:fill="FFFFFF"/>
        </w:rPr>
        <w:t xml:space="preserve"> </w:t>
      </w: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3,033.32</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预算数1,526.36万元，</w:t>
      </w:r>
      <w:r>
        <w:rPr>
          <w:rFonts w:hint="eastAsia" w:ascii="仿宋_GB2312" w:hAnsi="宋体" w:eastAsia="仿宋_GB2312" w:cs="宋体"/>
          <w:color w:val="000000"/>
          <w:kern w:val="0"/>
          <w:sz w:val="32"/>
          <w:szCs w:val="32"/>
        </w:rPr>
        <w:t>项目支出预算数</w:t>
      </w:r>
      <w:r>
        <w:rPr>
          <w:rFonts w:ascii="仿宋_GB2312" w:hAnsi="宋体" w:eastAsia="仿宋_GB2312" w:cs="宋体"/>
          <w:color w:val="000000"/>
          <w:kern w:val="0"/>
          <w:sz w:val="32"/>
          <w:szCs w:val="32"/>
        </w:rPr>
        <w:t>1,506.96万元，其他支出</w:t>
      </w:r>
      <w:r>
        <w:rPr>
          <w:rFonts w:hint="eastAsia"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2,863.91万元，其中，基本支出1,573.3</w:t>
      </w:r>
      <w:r>
        <w:rPr>
          <w:rFonts w:hint="eastAsia" w:ascii="仿宋_GB2312" w:hAnsi="宋体" w:eastAsia="仿宋_GB2312" w:cs="宋体"/>
          <w:color w:val="000000"/>
          <w:kern w:val="0"/>
          <w:sz w:val="32"/>
          <w:szCs w:val="32"/>
          <w:lang w:val="en-US" w:eastAsia="zh-CN"/>
        </w:rPr>
        <w:t>2</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1,290.59万元，其他支出</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94.42%</w:t>
      </w:r>
      <w:r>
        <w:rPr>
          <w:rFonts w:hint="eastAsia" w:ascii="仿宋_GB2312" w:hAnsi="宋体" w:eastAsia="仿宋_GB2312" w:cs="宋体"/>
          <w:color w:val="000000"/>
          <w:kern w:val="0"/>
          <w:sz w:val="32"/>
          <w:szCs w:val="32"/>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（一）产出完成情况分析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：全年</w:t>
      </w:r>
      <w:r>
        <w:rPr>
          <w:rFonts w:hint="eastAsia" w:ascii="仿宋_GB2312" w:hAnsi="宋体" w:eastAsia="仿宋_GB2312" w:cs="宋体"/>
          <w:color w:val="000000"/>
          <w:kern w:val="0"/>
          <w:sz w:val="32"/>
          <w:szCs w:val="32"/>
        </w:rPr>
        <w:t>举办活动</w:t>
      </w:r>
      <w:r>
        <w:rPr>
          <w:rFonts w:hint="eastAsia" w:ascii="仿宋_GB2312" w:hAnsi="宋体" w:eastAsia="仿宋_GB2312" w:cs="宋体"/>
          <w:color w:val="000000"/>
          <w:kern w:val="0"/>
          <w:sz w:val="32"/>
          <w:szCs w:val="32"/>
          <w:lang w:eastAsia="zh-CN"/>
        </w:rPr>
        <w:t>参加人员达到</w:t>
      </w:r>
      <w:r>
        <w:rPr>
          <w:rFonts w:hint="eastAsia" w:ascii="仿宋_GB2312" w:hAnsi="宋体" w:eastAsia="仿宋_GB2312" w:cs="宋体"/>
          <w:color w:val="000000"/>
          <w:kern w:val="0"/>
          <w:sz w:val="32"/>
          <w:szCs w:val="32"/>
          <w:lang w:val="en-US" w:eastAsia="zh-CN"/>
        </w:rPr>
        <w:t>600余人次，超出年度指标值≥500人次，完成了年度产出指标的数量指标要求。为全区离休干部和副处级以上退休干部开展服务管理工作达到1448人次，未达到度指标值≥1700人次，主要原因为人员自然减少，措施为提高预算编制的精准度。</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r>
        <w:rPr>
          <w:rFonts w:hint="eastAsia" w:ascii="仿宋_GB2312" w:hAnsi="宋体" w:eastAsia="仿宋_GB2312" w:cs="宋体"/>
          <w:color w:val="000000"/>
          <w:kern w:val="0"/>
          <w:sz w:val="32"/>
          <w:szCs w:val="32"/>
          <w:lang w:eastAsia="zh-CN"/>
        </w:rPr>
        <w:t>：全年引导老干部在新形势下发挥作用较好；确保了各项活动安全保障，</w:t>
      </w:r>
      <w:r>
        <w:rPr>
          <w:rFonts w:hint="eastAsia" w:ascii="仿宋_GB2312" w:hAnsi="宋体" w:eastAsia="仿宋_GB2312" w:cs="宋体"/>
          <w:color w:val="000000"/>
          <w:kern w:val="0"/>
          <w:sz w:val="32"/>
          <w:szCs w:val="32"/>
          <w:lang w:val="en-US" w:eastAsia="zh-CN"/>
        </w:rPr>
        <w:t>均完成了年度产出指标的质量指标要求。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r>
        <w:rPr>
          <w:rFonts w:hint="eastAsia" w:ascii="仿宋_GB2312" w:hAnsi="宋体" w:eastAsia="仿宋_GB2312" w:cs="宋体"/>
          <w:color w:val="000000"/>
          <w:kern w:val="0"/>
          <w:sz w:val="32"/>
          <w:szCs w:val="32"/>
          <w:lang w:eastAsia="zh-CN"/>
        </w:rPr>
        <w:t>：年度</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94.42%</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达到了年度总体支出进度90%以上的要求，但部分经费受组织活动次数和参会人员等因素影响开支进度未达到年度指标要求。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lang w:eastAsia="zh-CN"/>
        </w:rPr>
        <w:t>：年度各项支出总成本均控制在预算内，未出现超预算开支现象，</w:t>
      </w:r>
      <w:r>
        <w:rPr>
          <w:rFonts w:hint="eastAsia" w:ascii="仿宋_GB2312" w:hAnsi="宋体" w:eastAsia="仿宋_GB2312" w:cs="宋体"/>
          <w:color w:val="000000"/>
          <w:kern w:val="0"/>
          <w:sz w:val="32"/>
          <w:szCs w:val="32"/>
          <w:lang w:val="en-US" w:eastAsia="zh-CN"/>
        </w:rPr>
        <w:t>完成了年度产出指标的成本指标要求。</w:t>
      </w:r>
      <w:r>
        <w:rPr>
          <w:rFonts w:hint="eastAsia" w:ascii="仿宋_GB2312" w:hAnsi="宋体" w:eastAsia="仿宋_GB2312" w:cs="宋体"/>
          <w:color w:val="000000"/>
          <w:kern w:val="0"/>
          <w:sz w:val="32"/>
          <w:szCs w:val="32"/>
        </w:rPr>
        <w:t xml:space="preserve">                            </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1.社会效益</w:t>
      </w:r>
      <w:r>
        <w:rPr>
          <w:rFonts w:hint="eastAsia" w:ascii="仿宋_GB2312" w:hAnsi="宋体" w:eastAsia="仿宋_GB2312" w:cs="宋体"/>
          <w:color w:val="000000"/>
          <w:kern w:val="0"/>
          <w:sz w:val="32"/>
          <w:szCs w:val="32"/>
          <w:lang w:val="en-US" w:eastAsia="zh-CN"/>
        </w:rPr>
        <w:t>:在组织活动和宣传的主题关注度上还需提高；在进一步激发老干部发挥“正能量”作用上还需加强。</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性影响</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持续为全区老同志服务的能力还需提高</w:t>
      </w:r>
      <w:r>
        <w:rPr>
          <w:rFonts w:hint="eastAsia" w:ascii="仿宋_GB2312" w:hAnsi="宋体" w:eastAsia="仿宋_GB2312" w:cs="宋体"/>
          <w:color w:val="000000"/>
          <w:kern w:val="0"/>
          <w:sz w:val="32"/>
          <w:szCs w:val="32"/>
          <w:lang w:eastAsia="zh-CN"/>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：全区老干部对我们提供的服务满意度达到</w:t>
      </w:r>
      <w:r>
        <w:rPr>
          <w:rFonts w:hint="eastAsia" w:ascii="仿宋_GB2312" w:hAnsi="宋体" w:eastAsia="仿宋_GB2312" w:cs="宋体"/>
          <w:color w:val="000000"/>
          <w:kern w:val="0"/>
          <w:sz w:val="32"/>
          <w:szCs w:val="32"/>
          <w:lang w:val="en-US" w:eastAsia="zh-CN"/>
        </w:rPr>
        <w:t>93%以上。</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（一）财务管理</w:t>
      </w:r>
    </w:p>
    <w:p>
      <w:pPr>
        <w:pStyle w:val="9"/>
        <w:pageBreakBefore w:val="0"/>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1.财务管理制度健全性。2023年严格按照各项财务管理制度落实经费收支，对照</w:t>
      </w:r>
      <w:r>
        <w:rPr>
          <w:rFonts w:hint="eastAsia" w:ascii="仿宋_GB2312" w:hAnsi="仿宋_GB2312" w:eastAsia="仿宋_GB2312" w:cs="仿宋_GB2312"/>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北京市项目支出绩效评价管理办法</w:t>
      </w:r>
      <w:r>
        <w:rPr>
          <w:rFonts w:hint="eastAsia" w:ascii="仿宋_GB2312" w:hAnsi="仿宋_GB2312" w:eastAsia="仿宋_GB2312" w:cs="仿宋_GB2312"/>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和本单位《预算绩效管理办法（试行）》，做到单位主要负责同志对本单位绩效负责，项目责任人对项目预算绩效负责，切实做到“花钱必问效，无效必问责”。</w:t>
      </w:r>
    </w:p>
    <w:p>
      <w:pPr>
        <w:pStyle w:val="2"/>
        <w:pageBreakBefore w:val="0"/>
        <w:kinsoku/>
        <w:wordWrap/>
        <w:overflowPunct/>
        <w:topLinePunct w:val="0"/>
        <w:autoSpaceDE/>
        <w:autoSpaceDN/>
        <w:bidi w:val="0"/>
        <w:adjustRightInd/>
        <w:snapToGrid/>
        <w:spacing w:line="580" w:lineRule="exact"/>
        <w:ind w:right="0" w:rightChars="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r>
        <w:rPr>
          <w:rFonts w:hint="eastAsia" w:ascii="仿宋_GB2312" w:hAnsi="宋体" w:eastAsia="仿宋_GB2312" w:cs="宋体"/>
          <w:color w:val="000000"/>
          <w:kern w:val="0"/>
          <w:sz w:val="32"/>
          <w:szCs w:val="32"/>
          <w:lang w:eastAsia="zh-CN"/>
        </w:rPr>
        <w:t>。</w:t>
      </w:r>
      <w:r>
        <w:rPr>
          <w:rFonts w:hint="eastAsia" w:hAnsi="宋体" w:cs="宋体"/>
          <w:color w:val="000000"/>
          <w:kern w:val="0"/>
          <w:sz w:val="32"/>
          <w:szCs w:val="32"/>
          <w:lang w:eastAsia="zh-CN"/>
        </w:rPr>
        <w:t>严格按照</w:t>
      </w:r>
      <w:r>
        <w:rPr>
          <w:rFonts w:hint="eastAsia" w:ascii="仿宋_GB2312" w:hAnsi="宋体" w:eastAsia="仿宋_GB2312" w:cs="宋体"/>
          <w:color w:val="000000"/>
          <w:kern w:val="0"/>
          <w:sz w:val="32"/>
          <w:szCs w:val="32"/>
        </w:rPr>
        <w:t>一体化系统的预算资金</w:t>
      </w:r>
      <w:r>
        <w:rPr>
          <w:rFonts w:hint="eastAsia" w:hAnsi="宋体" w:cs="宋体"/>
          <w:color w:val="000000"/>
          <w:kern w:val="0"/>
          <w:sz w:val="32"/>
          <w:szCs w:val="32"/>
          <w:lang w:eastAsia="zh-CN"/>
        </w:rPr>
        <w:t>申请用款计划，</w:t>
      </w:r>
      <w:r>
        <w:rPr>
          <w:rFonts w:hint="eastAsia" w:ascii="仿宋_GB2312" w:hAnsi="宋体" w:eastAsia="仿宋_GB2312" w:cs="宋体"/>
          <w:color w:val="000000"/>
          <w:kern w:val="0"/>
          <w:sz w:val="32"/>
          <w:szCs w:val="32"/>
        </w:rPr>
        <w:t>由</w:t>
      </w:r>
      <w:r>
        <w:rPr>
          <w:rFonts w:hint="eastAsia" w:hAnsi="宋体" w:cs="宋体"/>
          <w:color w:val="000000"/>
          <w:kern w:val="0"/>
          <w:sz w:val="32"/>
          <w:szCs w:val="32"/>
          <w:lang w:eastAsia="zh-CN"/>
        </w:rPr>
        <w:t>单位申请用款计划</w:t>
      </w:r>
      <w:r>
        <w:rPr>
          <w:rFonts w:hint="eastAsia" w:ascii="仿宋_GB2312" w:hAnsi="宋体" w:eastAsia="仿宋_GB2312" w:cs="宋体"/>
          <w:color w:val="000000"/>
          <w:kern w:val="0"/>
          <w:sz w:val="32"/>
          <w:szCs w:val="32"/>
        </w:rPr>
        <w:t>，</w:t>
      </w:r>
      <w:r>
        <w:rPr>
          <w:rFonts w:hint="eastAsia" w:hAnsi="宋体" w:cs="宋体"/>
          <w:color w:val="000000"/>
          <w:kern w:val="0"/>
          <w:sz w:val="32"/>
          <w:szCs w:val="32"/>
          <w:lang w:eastAsia="zh-CN"/>
        </w:rPr>
        <w:t>财政局</w:t>
      </w:r>
      <w:r>
        <w:rPr>
          <w:rFonts w:hint="eastAsia" w:ascii="仿宋_GB2312" w:hAnsi="宋体" w:eastAsia="仿宋_GB2312" w:cs="宋体"/>
          <w:color w:val="000000"/>
          <w:kern w:val="0"/>
          <w:sz w:val="32"/>
          <w:szCs w:val="32"/>
        </w:rPr>
        <w:t>业务科室审核、支付中心受理。</w:t>
      </w:r>
      <w:r>
        <w:rPr>
          <w:rFonts w:hint="eastAsia" w:hAnsi="宋体" w:cs="宋体"/>
          <w:color w:val="000000"/>
          <w:kern w:val="0"/>
          <w:sz w:val="32"/>
          <w:szCs w:val="32"/>
          <w:lang w:eastAsia="zh-CN"/>
        </w:rPr>
        <w:t>在支付资金时认真对照经费审批单核对审批金额和局领导、业务科室、经手人和财务人员签字后再进行支付，杜绝签字不全支付资金的现象，</w:t>
      </w:r>
      <w:r>
        <w:rPr>
          <w:rFonts w:hint="eastAsia" w:ascii="仿宋_GB2312" w:hAnsi="宋体" w:eastAsia="仿宋_GB2312" w:cs="宋体"/>
          <w:color w:val="000000"/>
          <w:kern w:val="0"/>
          <w:sz w:val="32"/>
          <w:szCs w:val="32"/>
        </w:rPr>
        <w:t>每日根据代理银行确认支付金额，及时导出用款额度，便于支付资金清算，定期核对用款额度余额</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做到帐证相符、帐帐相符、帐实相符、帐表相符</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严格执行印鉴和票据管理制度，分人分印管理，同一经办人员不得管理全部印鉴</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相关票据、凭证专人保管，重要单据建立严格领用和核销制度。</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pStyle w:val="2"/>
        <w:pageBreakBefore w:val="0"/>
        <w:kinsoku/>
        <w:wordWrap/>
        <w:overflowPunct/>
        <w:topLinePunct w:val="0"/>
        <w:autoSpaceDE/>
        <w:autoSpaceDN/>
        <w:bidi w:val="0"/>
        <w:adjustRightInd/>
        <w:snapToGrid/>
        <w:spacing w:line="580" w:lineRule="exact"/>
        <w:ind w:right="0" w:rightChars="0"/>
        <w:textAlignment w:val="auto"/>
      </w:pP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w:t>
      </w:r>
      <w:r>
        <w:rPr>
          <w:rFonts w:hint="eastAsia" w:hAnsi="宋体" w:cs="宋体"/>
          <w:color w:val="000000"/>
          <w:kern w:val="0"/>
          <w:sz w:val="32"/>
          <w:szCs w:val="32"/>
          <w:lang w:eastAsia="zh-CN"/>
        </w:rPr>
        <w:t>资料真实、完整、准确，符合</w:t>
      </w:r>
      <w:r>
        <w:rPr>
          <w:rFonts w:ascii="Times New Roman" w:eastAsia="仿宋"/>
          <w:szCs w:val="32"/>
        </w:rPr>
        <w:t>《政府会计</w:t>
      </w:r>
      <w:r>
        <w:rPr>
          <w:rFonts w:ascii="仿宋_GB2312" w:hAnsi="宋体" w:eastAsia="仿宋_GB2312" w:cs="宋体"/>
          <w:color w:val="000000"/>
          <w:kern w:val="0"/>
          <w:sz w:val="32"/>
          <w:szCs w:val="32"/>
        </w:rPr>
        <w:t>准则》</w:t>
      </w:r>
      <w:r>
        <w:rPr>
          <w:rFonts w:hint="eastAsia" w:ascii="仿宋_GB2312" w:hAnsi="宋体" w:eastAsia="仿宋_GB2312" w:cs="宋体"/>
          <w:color w:val="000000"/>
          <w:kern w:val="0"/>
          <w:sz w:val="32"/>
          <w:szCs w:val="32"/>
          <w:lang w:eastAsia="zh-CN"/>
        </w:rPr>
        <w:t>和</w:t>
      </w:r>
      <w:r>
        <w:rPr>
          <w:rFonts w:hint="eastAsia" w:ascii="仿宋_GB2312" w:hAnsi="宋体" w:eastAsia="仿宋_GB2312" w:cs="宋体"/>
          <w:color w:val="000000"/>
          <w:kern w:val="0"/>
          <w:sz w:val="32"/>
          <w:szCs w:val="32"/>
        </w:rPr>
        <w:t>部门整体绩效</w:t>
      </w:r>
      <w:r>
        <w:rPr>
          <w:rFonts w:hint="eastAsia" w:ascii="仿宋_GB2312" w:hAnsi="宋体" w:eastAsia="仿宋_GB2312" w:cs="宋体"/>
          <w:color w:val="000000"/>
          <w:kern w:val="0"/>
          <w:sz w:val="32"/>
          <w:szCs w:val="32"/>
          <w:lang w:eastAsia="zh-CN"/>
        </w:rPr>
        <w:t>评价</w:t>
      </w:r>
      <w:r>
        <w:rPr>
          <w:rFonts w:hint="eastAsia" w:hAnsi="宋体" w:cs="宋体"/>
          <w:color w:val="000000"/>
          <w:kern w:val="0"/>
          <w:sz w:val="32"/>
          <w:szCs w:val="32"/>
          <w:lang w:eastAsia="zh-CN"/>
        </w:rPr>
        <w:t>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（二）资产管理</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建立了</w:t>
      </w:r>
      <w:r>
        <w:rPr>
          <w:rFonts w:hint="eastAsia" w:hAnsi="宋体" w:cs="宋体"/>
          <w:color w:val="000000"/>
          <w:kern w:val="0"/>
          <w:sz w:val="32"/>
          <w:szCs w:val="32"/>
          <w:lang w:eastAsia="zh-CN"/>
        </w:rPr>
        <w:t>本</w:t>
      </w:r>
      <w:r>
        <w:rPr>
          <w:rFonts w:hint="eastAsia" w:ascii="仿宋_GB2312" w:hAnsi="宋体" w:eastAsia="仿宋_GB2312" w:cs="宋体"/>
          <w:color w:val="000000"/>
          <w:kern w:val="0"/>
          <w:sz w:val="32"/>
          <w:szCs w:val="32"/>
        </w:rPr>
        <w:t>单位资产管理办法</w:t>
      </w:r>
      <w:r>
        <w:rPr>
          <w:rFonts w:hint="eastAsia" w:hAnsi="宋体" w:cs="宋体"/>
          <w:color w:val="000000"/>
          <w:kern w:val="0"/>
          <w:sz w:val="32"/>
          <w:szCs w:val="32"/>
          <w:lang w:eastAsia="zh-CN"/>
        </w:rPr>
        <w:t>，明确了资产</w:t>
      </w:r>
      <w:r>
        <w:rPr>
          <w:rFonts w:hint="eastAsia" w:ascii="仿宋_GB2312" w:hAnsi="宋体" w:eastAsia="仿宋_GB2312" w:cs="宋体"/>
          <w:color w:val="000000"/>
          <w:kern w:val="0"/>
          <w:sz w:val="32"/>
          <w:szCs w:val="32"/>
        </w:rPr>
        <w:t>资产处置细则</w:t>
      </w:r>
      <w:r>
        <w:rPr>
          <w:rFonts w:hint="eastAsia" w:hAnsi="宋体" w:cs="宋体"/>
          <w:color w:val="000000"/>
          <w:kern w:val="0"/>
          <w:sz w:val="32"/>
          <w:szCs w:val="32"/>
          <w:lang w:eastAsia="zh-CN"/>
        </w:rPr>
        <w:t>和流程</w:t>
      </w:r>
      <w:r>
        <w:rPr>
          <w:rFonts w:hint="eastAsia" w:ascii="仿宋_GB2312" w:hAnsi="宋体" w:eastAsia="仿宋_GB2312" w:cs="宋体"/>
          <w:color w:val="000000"/>
          <w:kern w:val="0"/>
          <w:sz w:val="32"/>
          <w:szCs w:val="32"/>
        </w:rPr>
        <w:t>。</w:t>
      </w:r>
      <w:r>
        <w:rPr>
          <w:rFonts w:ascii="Times New Roman" w:hAnsi="Times New Roman" w:eastAsia="仿宋_GB2312"/>
          <w:sz w:val="32"/>
          <w:szCs w:val="32"/>
        </w:rPr>
        <w:t>严格落实固定资产管理制度，对资产进行精细化、标准化、规范化管理，进行了资产盘查清点，进一步夯实了资产管理基础。坚持统一领导、分级管理、职责到人、物尽其用的原则，合理配备并提高资产使用效率，提高了资产管理工作效率和质量。</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仿宋_GB2312" w:hAnsi="仿宋" w:eastAsia="仿宋_GB2312"/>
          <w:b w:val="0"/>
          <w:color w:val="000000"/>
          <w:sz w:val="32"/>
          <w:szCs w:val="32"/>
          <w:shd w:val="clear" w:color="auto" w:fill="FFFFFF"/>
        </w:rPr>
        <w:t>全年按照贯彻落实上级关于老干部工作的方针、政策、法律、法规和指示；负责区委老干部工作领导小组办公室的日常工作，会同有关部门制订相关政策措施，推动老干部工作相关问题的研究解决；负责离退休干部党的建设、服务管理、作用发挥、文化养老等工作；负责指导监督《朝阳区离退休干部工作领导责任制》落实的总体目标要求认真落实，各项工作均达到了总体目标要求。项目支出按照落实上级对老干部工作的方针、政策，了解本区老干部的思想、学习和生活情况，解决老干部的实际困难和问题，引导老干部在新形势下发挥作用的要求，结合工作实际做到了早筹划、早准备，每月按时落实老干部各项政策，完成了全年各项工作。总成本均控制在预算内，各分项成本均按照政策和合同执行</w:t>
      </w:r>
      <w:r>
        <w:rPr>
          <w:rFonts w:hint="eastAsia" w:ascii="仿宋_GB2312" w:hAnsi="仿宋" w:eastAsia="仿宋_GB2312"/>
          <w:b w:val="0"/>
          <w:color w:val="000000"/>
          <w:sz w:val="32"/>
          <w:szCs w:val="32"/>
          <w:shd w:val="clear" w:color="auto" w:fill="FFFFFF"/>
          <w:lang w:eastAsia="zh-CN"/>
        </w:rPr>
        <w:t>。</w:t>
      </w:r>
    </w:p>
    <w:p>
      <w:pPr>
        <w:pageBreakBefore w:val="0"/>
        <w:numPr>
          <w:ilvl w:val="0"/>
          <w:numId w:val="1"/>
        </w:numPr>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结转结余率</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pPr>
      <w:r>
        <w:rPr>
          <w:rFonts w:hint="eastAsia" w:ascii="仿宋_GB2312" w:hAnsi="仿宋" w:eastAsia="仿宋_GB2312"/>
          <w:b w:val="0"/>
          <w:color w:val="000000"/>
          <w:sz w:val="32"/>
          <w:szCs w:val="32"/>
          <w:shd w:val="clear" w:color="auto" w:fill="FFFFFF"/>
        </w:rPr>
        <w:t>结转结余率</w:t>
      </w:r>
      <w:r>
        <w:rPr>
          <w:rFonts w:hint="eastAsia" w:ascii="仿宋_GB2312" w:hAnsi="仿宋" w:eastAsia="仿宋_GB2312"/>
          <w:b w:val="0"/>
          <w:color w:val="000000"/>
          <w:sz w:val="32"/>
          <w:szCs w:val="32"/>
          <w:shd w:val="clear" w:color="auto" w:fill="FFFFFF"/>
          <w:lang w:eastAsia="zh-CN"/>
        </w:rPr>
        <w:t>为</w:t>
      </w:r>
      <w:r>
        <w:rPr>
          <w:rFonts w:hint="eastAsia" w:ascii="仿宋_GB2312" w:hAnsi="仿宋" w:eastAsia="仿宋_GB2312"/>
          <w:b w:val="0"/>
          <w:color w:val="000000"/>
          <w:sz w:val="32"/>
          <w:szCs w:val="32"/>
          <w:shd w:val="clear" w:color="auto" w:fill="FFFFFF"/>
          <w:lang w:val="en-US" w:eastAsia="zh-CN"/>
        </w:rPr>
        <w:t>0，年底无</w:t>
      </w:r>
      <w:r>
        <w:rPr>
          <w:rFonts w:hint="eastAsia" w:ascii="仿宋_GB2312" w:hAnsi="仿宋" w:eastAsia="仿宋_GB2312"/>
          <w:b w:val="0"/>
          <w:color w:val="000000"/>
          <w:sz w:val="32"/>
          <w:szCs w:val="32"/>
          <w:shd w:val="clear" w:color="auto" w:fill="FFFFFF"/>
        </w:rPr>
        <w:t>结转结余</w:t>
      </w:r>
      <w:r>
        <w:rPr>
          <w:rFonts w:hint="eastAsia" w:ascii="仿宋_GB2312" w:hAnsi="仿宋" w:eastAsia="仿宋_GB2312"/>
          <w:b w:val="0"/>
          <w:color w:val="000000"/>
          <w:sz w:val="32"/>
          <w:szCs w:val="32"/>
          <w:shd w:val="clear" w:color="auto" w:fill="FFFFFF"/>
          <w:lang w:eastAsia="zh-CN"/>
        </w:rPr>
        <w:t>。</w:t>
      </w:r>
    </w:p>
    <w:p>
      <w:pPr>
        <w:pageBreakBefore w:val="0"/>
        <w:numPr>
          <w:ilvl w:val="0"/>
          <w:numId w:val="1"/>
        </w:numPr>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部门预决算差异率</w:t>
      </w:r>
    </w:p>
    <w:p>
      <w:pPr>
        <w:pageBreakBefore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pPr>
      <w:r>
        <w:rPr>
          <w:rFonts w:hint="eastAsia" w:ascii="仿宋_GB2312" w:hAnsi="仿宋" w:eastAsia="仿宋_GB2312"/>
          <w:b w:val="0"/>
          <w:color w:val="000000"/>
          <w:sz w:val="32"/>
          <w:szCs w:val="32"/>
          <w:shd w:val="clear" w:color="auto" w:fill="FFFFFF"/>
        </w:rPr>
        <w:t>部门预决算差异率</w:t>
      </w:r>
      <w:r>
        <w:rPr>
          <w:rFonts w:hint="eastAsia" w:ascii="仿宋_GB2312" w:hAnsi="仿宋" w:eastAsia="仿宋_GB2312"/>
          <w:b w:val="0"/>
          <w:color w:val="000000"/>
          <w:sz w:val="32"/>
          <w:szCs w:val="32"/>
          <w:shd w:val="clear" w:color="auto" w:fill="FFFFFF"/>
          <w:lang w:eastAsia="zh-CN"/>
        </w:rPr>
        <w:t>为</w:t>
      </w:r>
      <w:r>
        <w:rPr>
          <w:rFonts w:hint="eastAsia" w:ascii="仿宋_GB2312" w:hAnsi="仿宋" w:eastAsia="仿宋_GB2312"/>
          <w:b w:val="0"/>
          <w:color w:val="000000"/>
          <w:sz w:val="32"/>
          <w:szCs w:val="32"/>
          <w:shd w:val="clear" w:color="auto" w:fill="FFFFFF"/>
          <w:lang w:val="en-US" w:eastAsia="zh-CN"/>
        </w:rPr>
        <w:t>5.58%，主要原因为基本支出增加和部分还原到其他单位的项目经费开支实用未达标。</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1.产出指标总分为45分，自评得分44.25分，其中：除一项数量指标“组织体检和走访慰问等生活待遇落实人/次”未达到年度指标外，其余产出数量、产出质量、</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产出成本均完成和达到了年度产出指标的要求。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2.效益指标总分为15分，自评得分</w:t>
      </w:r>
      <w:r>
        <w:rPr>
          <w:rFonts w:hint="eastAsia" w:hAnsi="宋体" w:cs="宋体"/>
          <w:color w:val="000000"/>
          <w:kern w:val="0"/>
          <w:sz w:val="32"/>
          <w:szCs w:val="32"/>
          <w:lang w:val="en-US" w:eastAsia="zh-CN"/>
        </w:rPr>
        <w:t>15</w:t>
      </w:r>
      <w:r>
        <w:rPr>
          <w:rFonts w:hint="eastAsia" w:ascii="仿宋_GB2312" w:hAnsi="宋体" w:eastAsia="仿宋_GB2312" w:cs="宋体"/>
          <w:color w:val="000000"/>
          <w:kern w:val="0"/>
          <w:sz w:val="32"/>
          <w:szCs w:val="32"/>
          <w:lang w:val="en-US" w:eastAsia="zh-CN"/>
        </w:rPr>
        <w:t>分</w:t>
      </w:r>
      <w:r>
        <w:rPr>
          <w:rFonts w:hint="eastAsia" w:hAnsi="宋体" w:cs="宋体"/>
          <w:color w:val="000000"/>
          <w:kern w:val="0"/>
          <w:sz w:val="32"/>
          <w:szCs w:val="32"/>
          <w:lang w:val="en-US" w:eastAsia="zh-CN"/>
        </w:rPr>
        <w:t>，</w:t>
      </w:r>
      <w:r>
        <w:rPr>
          <w:rFonts w:hint="eastAsia" w:ascii="仿宋_GB2312" w:hAnsi="宋体" w:eastAsia="仿宋_GB2312" w:cs="宋体"/>
          <w:color w:val="000000"/>
          <w:kern w:val="0"/>
          <w:sz w:val="32"/>
          <w:szCs w:val="32"/>
          <w:lang w:val="en-US" w:eastAsia="zh-CN"/>
        </w:rPr>
        <w:t>社会效益指标达到年度指标，老同志的获得感增强、发挥作用明显</w:t>
      </w:r>
      <w:r>
        <w:rPr>
          <w:rFonts w:hint="eastAsia" w:ascii="仿宋_GB2312" w:hAnsi="宋体" w:eastAsia="仿宋_GB2312" w:cs="宋体"/>
          <w:color w:val="000000"/>
          <w:kern w:val="0"/>
          <w:sz w:val="32"/>
          <w:szCs w:val="32"/>
          <w:lang w:eastAsia="zh-CN"/>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.满意度指标</w:t>
      </w:r>
      <w:r>
        <w:rPr>
          <w:rFonts w:hint="eastAsia" w:ascii="仿宋_GB2312" w:hAnsi="宋体" w:eastAsia="仿宋_GB2312" w:cs="宋体"/>
          <w:color w:val="000000"/>
          <w:kern w:val="0"/>
          <w:sz w:val="32"/>
          <w:szCs w:val="32"/>
          <w:lang w:val="en-US" w:eastAsia="zh-CN"/>
        </w:rPr>
        <w:t>总分为25分，自评得分</w:t>
      </w:r>
      <w:r>
        <w:rPr>
          <w:rFonts w:hint="eastAsia" w:hAnsi="宋体" w:cs="宋体"/>
          <w:color w:val="000000"/>
          <w:kern w:val="0"/>
          <w:sz w:val="32"/>
          <w:szCs w:val="32"/>
          <w:lang w:val="en-US" w:eastAsia="zh-CN"/>
        </w:rPr>
        <w:t>25</w:t>
      </w:r>
      <w:r>
        <w:rPr>
          <w:rFonts w:hint="eastAsia" w:ascii="仿宋_GB2312" w:hAnsi="宋体" w:eastAsia="仿宋_GB2312" w:cs="宋体"/>
          <w:color w:val="000000"/>
          <w:kern w:val="0"/>
          <w:sz w:val="32"/>
          <w:szCs w:val="32"/>
          <w:lang w:val="en-US" w:eastAsia="zh-CN"/>
        </w:rPr>
        <w:t>分，组织各项活动</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达到了年初指标值。</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lang w:val="en-US"/>
        </w:rPr>
      </w:pPr>
      <w:r>
        <w:rPr>
          <w:rFonts w:hint="eastAsia" w:hAnsi="宋体" w:cs="宋体"/>
          <w:color w:val="000000"/>
          <w:kern w:val="0"/>
          <w:sz w:val="32"/>
          <w:szCs w:val="32"/>
          <w:lang w:val="en-US" w:eastAsia="zh-CN"/>
        </w:rPr>
        <w:t>4.成本指标</w:t>
      </w:r>
      <w:r>
        <w:rPr>
          <w:rFonts w:hint="eastAsia" w:ascii="仿宋_GB2312" w:hAnsi="宋体" w:eastAsia="仿宋_GB2312" w:cs="宋体"/>
          <w:color w:val="000000"/>
          <w:kern w:val="0"/>
          <w:sz w:val="32"/>
          <w:szCs w:val="32"/>
          <w:lang w:val="en-US" w:eastAsia="zh-CN"/>
        </w:rPr>
        <w:t>总分为15分</w:t>
      </w:r>
      <w:r>
        <w:rPr>
          <w:rFonts w:hint="eastAsia" w:hAnsi="宋体" w:cs="宋体"/>
          <w:color w:val="000000"/>
          <w:kern w:val="0"/>
          <w:sz w:val="32"/>
          <w:szCs w:val="32"/>
          <w:lang w:val="en-US" w:eastAsia="zh-CN"/>
        </w:rPr>
        <w:t>，</w:t>
      </w:r>
      <w:r>
        <w:rPr>
          <w:rFonts w:hint="eastAsia" w:ascii="仿宋_GB2312" w:hAnsi="宋体" w:eastAsia="仿宋_GB2312" w:cs="宋体"/>
          <w:color w:val="000000"/>
          <w:kern w:val="0"/>
          <w:sz w:val="32"/>
          <w:szCs w:val="32"/>
          <w:lang w:val="en-US" w:eastAsia="zh-CN"/>
        </w:rPr>
        <w:t>自评得分</w:t>
      </w:r>
      <w:r>
        <w:rPr>
          <w:rFonts w:hint="eastAsia" w:hAnsi="宋体" w:cs="宋体"/>
          <w:color w:val="000000"/>
          <w:kern w:val="0"/>
          <w:sz w:val="32"/>
          <w:szCs w:val="32"/>
          <w:lang w:val="en-US" w:eastAsia="zh-CN"/>
        </w:rPr>
        <w:t>15</w:t>
      </w:r>
      <w:r>
        <w:rPr>
          <w:rFonts w:hint="eastAsia" w:ascii="仿宋_GB2312" w:hAnsi="宋体" w:eastAsia="仿宋_GB2312" w:cs="宋体"/>
          <w:color w:val="000000"/>
          <w:kern w:val="0"/>
          <w:sz w:val="32"/>
          <w:szCs w:val="32"/>
          <w:lang w:val="en-US" w:eastAsia="zh-CN"/>
        </w:rPr>
        <w:t>分</w:t>
      </w:r>
      <w:r>
        <w:rPr>
          <w:rFonts w:hint="eastAsia" w:hAnsi="宋体" w:cs="宋体"/>
          <w:color w:val="000000"/>
          <w:kern w:val="0"/>
          <w:sz w:val="32"/>
          <w:szCs w:val="32"/>
          <w:lang w:val="en-US" w:eastAsia="zh-CN"/>
        </w:rPr>
        <w:t>，总成本均控制在年度预算内。</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（二）存在的问题及原因分析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仿宋_GB2312" w:hAnsi="宋体" w:eastAsia="仿宋_GB2312" w:cs="宋体"/>
          <w:color w:val="000000"/>
          <w:kern w:val="0"/>
          <w:sz w:val="32"/>
          <w:szCs w:val="32"/>
          <w:lang w:val="en-US" w:eastAsia="zh-CN"/>
        </w:rPr>
        <w:t>存在的问题：一是公共事务协管经费，因编制原因于1月份取消了编外用工，造成全年此项目未开展活动，绩效自评得分较低；二是部分预算绩效目标数值设置还不太准确；三是</w:t>
      </w:r>
      <w:r>
        <w:rPr>
          <w:rFonts w:hint="eastAsia" w:ascii="仿宋_GB2312" w:hAnsi="宋体" w:eastAsia="仿宋_GB2312" w:cs="宋体"/>
          <w:color w:val="000000"/>
          <w:kern w:val="0"/>
          <w:sz w:val="32"/>
          <w:szCs w:val="32"/>
        </w:rPr>
        <w:t>持续为全区老同志服务的能力还需提高</w:t>
      </w:r>
      <w:r>
        <w:rPr>
          <w:rFonts w:hint="eastAsia" w:ascii="仿宋_GB2312" w:hAnsi="宋体" w:eastAsia="仿宋_GB2312" w:cs="宋体"/>
          <w:color w:val="000000"/>
          <w:kern w:val="0"/>
          <w:sz w:val="32"/>
          <w:szCs w:val="32"/>
          <w:lang w:eastAsia="zh-CN"/>
        </w:rPr>
        <w:t>。</w:t>
      </w:r>
      <w:bookmarkStart w:id="0" w:name="_GoBack"/>
      <w:bookmarkEnd w:id="0"/>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黑体" w:hAnsi="黑体" w:eastAsia="黑体"/>
          <w:sz w:val="32"/>
          <w:szCs w:val="32"/>
        </w:rPr>
      </w:pPr>
      <w:r>
        <w:rPr>
          <w:rFonts w:hint="eastAsia" w:ascii="黑体" w:hAnsi="黑体" w:eastAsia="黑体"/>
          <w:sz w:val="32"/>
          <w:szCs w:val="32"/>
        </w:rPr>
        <w:t>六、下一步工作举措</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eastAsia="zh-CN"/>
        </w:rPr>
      </w:pPr>
      <w:r>
        <w:rPr>
          <w:rFonts w:hint="eastAsia" w:hAnsi="宋体" w:cs="宋体"/>
          <w:color w:val="000000"/>
          <w:kern w:val="0"/>
          <w:sz w:val="32"/>
          <w:szCs w:val="32"/>
          <w:lang w:eastAsia="zh-CN"/>
        </w:rPr>
        <w:t>一是加大对预算编制的精准度和绩效目标设置的合理性；</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eastAsia="zh-CN"/>
        </w:rPr>
      </w:pPr>
      <w:r>
        <w:rPr>
          <w:rFonts w:hint="eastAsia" w:hAnsi="宋体" w:cs="宋体"/>
          <w:color w:val="000000"/>
          <w:kern w:val="0"/>
          <w:sz w:val="32"/>
          <w:szCs w:val="32"/>
          <w:lang w:eastAsia="zh-CN"/>
        </w:rPr>
        <w:t>二是加强项目绩效的日常监管和跟踪，落实阶段性项目绩效评价制度，确保年度总体项目绩效目标的完成。</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val="en-US" w:eastAsia="zh-CN"/>
        </w:rPr>
      </w:pPr>
      <w:r>
        <w:rPr>
          <w:rFonts w:hint="eastAsia" w:hAnsi="宋体" w:cs="宋体"/>
          <w:color w:val="000000"/>
          <w:kern w:val="0"/>
          <w:sz w:val="32"/>
          <w:szCs w:val="32"/>
          <w:lang w:eastAsia="zh-CN"/>
        </w:rPr>
        <w:t>三是严格财务审核，在费用报账支付时按照预算规定的项目和用途进行资金使用和审核支付，杜绝超支现象发生。</w:t>
      </w:r>
    </w:p>
    <w:p>
      <w:pPr>
        <w:pStyle w:val="2"/>
        <w:pageBreakBefore w:val="0"/>
        <w:kinsoku/>
        <w:wordWrap/>
        <w:overflowPunct/>
        <w:topLinePunct w:val="0"/>
        <w:autoSpaceDE/>
        <w:autoSpaceDN/>
        <w:bidi w:val="0"/>
        <w:adjustRightInd/>
        <w:snapToGrid/>
        <w:spacing w:line="580" w:lineRule="exact"/>
        <w:ind w:right="0" w:rightChars="0" w:firstLine="3520" w:firstLineChars="1100"/>
        <w:textAlignment w:val="auto"/>
        <w:rPr>
          <w:rFonts w:hint="eastAsia" w:hAnsi="宋体" w:cs="宋体"/>
          <w:color w:val="000000"/>
          <w:kern w:val="0"/>
          <w:sz w:val="32"/>
          <w:szCs w:val="32"/>
          <w:lang w:val="en-US" w:eastAsia="zh-CN"/>
        </w:rPr>
      </w:pPr>
    </w:p>
    <w:p>
      <w:pPr>
        <w:pStyle w:val="2"/>
        <w:pageBreakBefore w:val="0"/>
        <w:kinsoku/>
        <w:wordWrap/>
        <w:overflowPunct/>
        <w:topLinePunct w:val="0"/>
        <w:autoSpaceDE/>
        <w:autoSpaceDN/>
        <w:bidi w:val="0"/>
        <w:adjustRightInd/>
        <w:snapToGrid/>
        <w:spacing w:line="580" w:lineRule="exact"/>
        <w:ind w:right="0" w:rightChars="0" w:firstLine="3520" w:firstLineChars="1100"/>
        <w:textAlignment w:val="auto"/>
        <w:rPr>
          <w:rFonts w:hint="eastAsia" w:hAnsi="宋体" w:cs="宋体"/>
          <w:color w:val="000000"/>
          <w:kern w:val="0"/>
          <w:sz w:val="32"/>
          <w:szCs w:val="32"/>
          <w:lang w:val="en-US" w:eastAsia="zh-CN"/>
        </w:rPr>
      </w:pPr>
      <w:r>
        <w:rPr>
          <w:rFonts w:hint="eastAsia" w:hAnsi="宋体" w:cs="宋体"/>
          <w:color w:val="000000"/>
          <w:kern w:val="0"/>
          <w:sz w:val="32"/>
          <w:szCs w:val="32"/>
          <w:lang w:val="en-US" w:eastAsia="zh-CN"/>
        </w:rPr>
        <w:t>中共北京朝阳区委老干部局</w:t>
      </w:r>
    </w:p>
    <w:p>
      <w:pPr>
        <w:pStyle w:val="2"/>
        <w:pageBreakBefore w:val="0"/>
        <w:kinsoku/>
        <w:wordWrap/>
        <w:overflowPunct/>
        <w:topLinePunct w:val="0"/>
        <w:autoSpaceDE/>
        <w:autoSpaceDN/>
        <w:bidi w:val="0"/>
        <w:adjustRightInd/>
        <w:snapToGrid/>
        <w:spacing w:line="580" w:lineRule="exact"/>
        <w:ind w:right="0" w:rightChars="0" w:firstLine="4480" w:firstLineChars="1400"/>
        <w:textAlignment w:val="auto"/>
        <w:rPr>
          <w:rFonts w:hint="eastAsia" w:hAnsi="宋体" w:cs="宋体"/>
          <w:color w:val="000000"/>
          <w:kern w:val="0"/>
          <w:sz w:val="32"/>
          <w:szCs w:val="32"/>
          <w:lang w:val="en-US" w:eastAsia="zh-CN"/>
        </w:rPr>
      </w:pPr>
      <w:r>
        <w:rPr>
          <w:rFonts w:hint="eastAsia" w:hAnsi="宋体" w:cs="宋体"/>
          <w:color w:val="000000"/>
          <w:kern w:val="0"/>
          <w:sz w:val="32"/>
          <w:szCs w:val="32"/>
          <w:lang w:val="en-US" w:eastAsia="zh-CN"/>
        </w:rPr>
        <w:t>2024年3月22日</w:t>
      </w:r>
    </w:p>
    <w:p>
      <w:pPr>
        <w:pageBreakBefore w:val="0"/>
        <w:kinsoku/>
        <w:wordWrap/>
        <w:overflowPunct/>
        <w:topLinePunct w:val="0"/>
        <w:autoSpaceDE/>
        <w:autoSpaceDN/>
        <w:bidi w:val="0"/>
        <w:adjustRightInd/>
        <w:snapToGrid/>
        <w:spacing w:line="580" w:lineRule="exact"/>
        <w:ind w:right="0" w:righ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方正书宋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Calibri Light">
    <w:altName w:val="Calibri"/>
    <w:panose1 w:val="00000000000000000000"/>
    <w:charset w:val="00"/>
    <w:family w:val="auto"/>
    <w:pitch w:val="default"/>
    <w:sig w:usb0="00000000" w:usb1="00000000" w:usb2="00000000" w:usb3="00000000" w:csb0="00000000" w:csb1="00000000"/>
  </w:font>
  <w:font w:name="方正隶书_GBK">
    <w:altName w:val="隶书"/>
    <w:panose1 w:val="02000000000000000000"/>
    <w:charset w:val="86"/>
    <w:family w:val="auto"/>
    <w:pitch w:val="default"/>
    <w:sig w:usb0="00000000" w:usb1="00000000" w:usb2="00000000" w:usb3="00000000" w:csb0="00040000"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楷体_GB2312"/>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rebuchet MS">
    <w:panose1 w:val="020B0603020202020204"/>
    <w:charset w:val="00"/>
    <w:family w:val="auto"/>
    <w:pitch w:val="default"/>
    <w:sig w:usb0="00000287" w:usb1="00000000" w:usb2="00000000" w:usb3="00000000" w:csb0="2000009F"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等线">
    <w:altName w:val="宋体"/>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DC6543"/>
    <w:multiLevelType w:val="singleLevel"/>
    <w:tmpl w:val="63DC6543"/>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F12E6"/>
    <w:rsid w:val="09C2470C"/>
    <w:rsid w:val="11652C3A"/>
    <w:rsid w:val="12F87A86"/>
    <w:rsid w:val="164421DD"/>
    <w:rsid w:val="1FE715EA"/>
    <w:rsid w:val="301C2B99"/>
    <w:rsid w:val="325117C9"/>
    <w:rsid w:val="36B14AB2"/>
    <w:rsid w:val="3B5F2171"/>
    <w:rsid w:val="485A5F32"/>
    <w:rsid w:val="55F819B6"/>
    <w:rsid w:val="560F5DFF"/>
    <w:rsid w:val="5AB27146"/>
    <w:rsid w:val="69BF12E6"/>
    <w:rsid w:val="6D851C6E"/>
    <w:rsid w:val="731B4180"/>
    <w:rsid w:val="7C4713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unhideWhenUsed/>
    <w:qFormat/>
    <w:uiPriority w:val="0"/>
    <w:pPr>
      <w:keepNext/>
      <w:keepLines/>
      <w:jc w:val="center"/>
      <w:outlineLvl w:val="1"/>
    </w:pPr>
    <w:rPr>
      <w:rFonts w:ascii="Cambria" w:hAnsi="Cambria" w:cs="Cambria"/>
      <w:sz w:val="36"/>
      <w:szCs w:val="36"/>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640" w:firstLineChars="200"/>
    </w:pPr>
    <w:rPr>
      <w:rFonts w:eastAsia="仿宋_GB2312"/>
      <w:sz w:val="32"/>
      <w:szCs w:val="20"/>
    </w:rPr>
  </w:style>
  <w:style w:type="paragraph" w:styleId="3">
    <w:name w:val="Body Text"/>
    <w:basedOn w:val="1"/>
    <w:next w:val="4"/>
    <w:qFormat/>
    <w:uiPriority w:val="0"/>
    <w:rPr>
      <w:rFonts w:ascii="仿宋_GB2312"/>
    </w:rPr>
  </w:style>
  <w:style w:type="paragraph" w:customStyle="1" w:styleId="4">
    <w:name w:val="目录 11"/>
    <w:basedOn w:val="1"/>
    <w:next w:val="1"/>
    <w:qFormat/>
    <w:uiPriority w:val="99"/>
    <w:pPr>
      <w:widowControl/>
      <w:wordWrap w:val="0"/>
    </w:pPr>
    <w:rPr>
      <w:rFonts w:ascii="Calibri" w:hAnsi="Calibri" w:cs="Calibri"/>
      <w:kern w:val="0"/>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admin</cp:lastModifiedBy>
  <cp:lastPrinted>2024-03-21T06:00:26Z</cp:lastPrinted>
  <dcterms:modified xsi:type="dcterms:W3CDTF">2024-03-21T06:01:41Z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